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330" w:rsidRPr="00352E9F" w:rsidRDefault="002D7330" w:rsidP="002D7330">
      <w:pPr>
        <w:rPr>
          <w:rFonts w:ascii="Arial" w:hAnsi="Arial" w:cs="Arial"/>
        </w:rPr>
      </w:pPr>
    </w:p>
    <w:p w:rsidR="002D7330" w:rsidRPr="0023421E" w:rsidRDefault="002D7330" w:rsidP="002D7330">
      <w:pPr>
        <w:jc w:val="center"/>
        <w:rPr>
          <w:rFonts w:ascii="Arial" w:hAnsi="Arial" w:cs="Arial"/>
          <w:b/>
          <w:szCs w:val="24"/>
        </w:rPr>
      </w:pPr>
      <w:r w:rsidRPr="0023421E">
        <w:rPr>
          <w:rFonts w:ascii="Arial" w:hAnsi="Arial" w:cs="Arial"/>
          <w:b/>
          <w:szCs w:val="24"/>
        </w:rPr>
        <w:t>BASIS FOR THE ASSERTION THAT THE</w:t>
      </w:r>
    </w:p>
    <w:p w:rsidR="002D7330" w:rsidRPr="0023421E" w:rsidRDefault="002D7330" w:rsidP="002D7330">
      <w:pPr>
        <w:jc w:val="center"/>
        <w:rPr>
          <w:rFonts w:ascii="Arial" w:hAnsi="Arial" w:cs="Arial"/>
          <w:b/>
          <w:szCs w:val="24"/>
        </w:rPr>
      </w:pPr>
      <w:r w:rsidRPr="0023421E">
        <w:rPr>
          <w:rFonts w:ascii="Arial" w:hAnsi="Arial" w:cs="Arial"/>
          <w:b/>
          <w:szCs w:val="24"/>
        </w:rPr>
        <w:t>INFORMATION SUBMITTED IS TRADE SECRET</w:t>
      </w:r>
    </w:p>
    <w:p w:rsidR="002D7330" w:rsidRDefault="002D7330" w:rsidP="002D7330">
      <w:pPr>
        <w:pStyle w:val="BodyText"/>
        <w:spacing w:after="240"/>
        <w:ind w:left="1440" w:hanging="1440"/>
        <w:jc w:val="center"/>
        <w:rPr>
          <w:b/>
          <w:sz w:val="28"/>
          <w:szCs w:val="28"/>
        </w:rPr>
      </w:pPr>
    </w:p>
    <w:p w:rsidR="00D8643B" w:rsidRDefault="00D8643B" w:rsidP="00D8643B">
      <w:pPr>
        <w:ind w:firstLine="720"/>
        <w:jc w:val="both"/>
        <w:rPr>
          <w:rFonts w:ascii="Arial" w:hAnsi="Arial" w:cs="Arial"/>
          <w:szCs w:val="24"/>
        </w:rPr>
      </w:pPr>
      <w:r w:rsidRPr="0023421E">
        <w:rPr>
          <w:rFonts w:ascii="Arial" w:hAnsi="Arial" w:cs="Arial"/>
          <w:szCs w:val="24"/>
        </w:rPr>
        <w:t xml:space="preserve">In </w:t>
      </w:r>
      <w:r w:rsidRPr="00086135">
        <w:rPr>
          <w:rFonts w:ascii="Arial" w:hAnsi="Arial" w:cs="Arial"/>
          <w:szCs w:val="24"/>
        </w:rPr>
        <w:t>response to data request STF-HPSC</w:t>
      </w:r>
      <w:r>
        <w:rPr>
          <w:rFonts w:ascii="Arial" w:hAnsi="Arial" w:cs="Arial"/>
          <w:szCs w:val="24"/>
        </w:rPr>
        <w:t>-9-33</w:t>
      </w:r>
      <w:r w:rsidRPr="00086135">
        <w:rPr>
          <w:rFonts w:ascii="Arial" w:hAnsi="Arial" w:cs="Arial"/>
          <w:szCs w:val="24"/>
        </w:rPr>
        <w:t>, in Georgia Public Service Commission Docket No. 28945-U, Georgia</w:t>
      </w:r>
      <w:r w:rsidRPr="0023421E">
        <w:rPr>
          <w:rFonts w:ascii="Arial" w:hAnsi="Arial" w:cs="Arial"/>
          <w:szCs w:val="24"/>
        </w:rPr>
        <w:t xml:space="preserve"> Power Company (“Georg</w:t>
      </w:r>
      <w:r>
        <w:rPr>
          <w:rFonts w:ascii="Arial" w:hAnsi="Arial" w:cs="Arial"/>
          <w:szCs w:val="24"/>
        </w:rPr>
        <w:t>ia Power”) has provided information regarding the Company’s coal procurement strategy (the “Information”). The i</w:t>
      </w:r>
      <w:r w:rsidRPr="0023421E">
        <w:rPr>
          <w:rFonts w:ascii="Arial" w:hAnsi="Arial" w:cs="Arial"/>
          <w:szCs w:val="24"/>
        </w:rPr>
        <w:t xml:space="preserve">nformation contains trade secrets of the Southern Company, Georgia Power, and its affiliates (the “Company”). </w:t>
      </w:r>
    </w:p>
    <w:p w:rsidR="00D8643B" w:rsidRPr="0023421E" w:rsidRDefault="00D8643B" w:rsidP="00D8643B">
      <w:pPr>
        <w:ind w:firstLine="720"/>
        <w:jc w:val="both"/>
        <w:rPr>
          <w:rFonts w:ascii="Arial" w:hAnsi="Arial" w:cs="Arial"/>
          <w:szCs w:val="24"/>
        </w:rPr>
      </w:pPr>
    </w:p>
    <w:p w:rsidR="000F60C8" w:rsidRPr="00321E32" w:rsidRDefault="00D8643B" w:rsidP="000F60C8">
      <w:pPr>
        <w:ind w:firstLine="720"/>
        <w:jc w:val="both"/>
        <w:rPr>
          <w:rFonts w:ascii="Arial" w:hAnsi="Arial" w:cs="Arial"/>
        </w:rPr>
      </w:pPr>
      <w:r w:rsidRPr="0097653A">
        <w:rPr>
          <w:rFonts w:ascii="Arial" w:hAnsi="Arial" w:cs="Arial"/>
        </w:rPr>
        <w:t>If revealed to the public, vendors</w:t>
      </w:r>
      <w:r w:rsidRPr="00893AEE">
        <w:rPr>
          <w:rFonts w:ascii="Arial" w:hAnsi="Arial" w:cs="Arial"/>
        </w:rPr>
        <w:t xml:space="preserve"> could use the Information to tailor proposals according to the Company’s</w:t>
      </w:r>
      <w:r>
        <w:rPr>
          <w:rFonts w:ascii="Arial" w:hAnsi="Arial" w:cs="Arial"/>
        </w:rPr>
        <w:t xml:space="preserve"> procurement strategies to the detriment of the Company.</w:t>
      </w:r>
      <w:r w:rsidRPr="00893AEE">
        <w:rPr>
          <w:rFonts w:ascii="Arial" w:hAnsi="Arial" w:cs="Arial"/>
        </w:rPr>
        <w:t xml:space="preserve"> </w:t>
      </w:r>
      <w:r w:rsidR="000F60C8">
        <w:rPr>
          <w:rFonts w:ascii="Arial" w:hAnsi="Arial" w:cs="Arial"/>
        </w:rPr>
        <w:t xml:space="preserve">The Company would be at a competitive disadvantage in future negotiations to the extent the potential suppliers had insight in to the Company’s procurement strategies. Competitors are not similarly required to disclose similar information and thus the Company would be economically harmed. </w:t>
      </w:r>
    </w:p>
    <w:p w:rsidR="00D8643B" w:rsidRDefault="00D8643B" w:rsidP="00D8643B">
      <w:pPr>
        <w:jc w:val="both"/>
        <w:rPr>
          <w:rFonts w:ascii="Arial" w:hAnsi="Arial" w:cs="Arial"/>
        </w:rPr>
      </w:pPr>
    </w:p>
    <w:p w:rsidR="00D8643B" w:rsidRDefault="00D8643B" w:rsidP="00D8643B">
      <w:pPr>
        <w:jc w:val="both"/>
        <w:rPr>
          <w:rFonts w:ascii="Arial" w:hAnsi="Arial" w:cs="Arial"/>
        </w:rPr>
      </w:pPr>
      <w:r w:rsidRPr="00321E32">
        <w:rPr>
          <w:rFonts w:ascii="Arial" w:hAnsi="Arial" w:cs="Arial"/>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0F60C8" w:rsidRDefault="000F60C8" w:rsidP="00D8643B">
      <w:pPr>
        <w:jc w:val="both"/>
        <w:rPr>
          <w:rFonts w:ascii="Arial" w:hAnsi="Arial" w:cs="Arial"/>
        </w:rPr>
      </w:pPr>
    </w:p>
    <w:p w:rsidR="000F60C8" w:rsidRPr="00321E32" w:rsidRDefault="000F60C8" w:rsidP="000F60C8">
      <w:pPr>
        <w:ind w:firstLine="720"/>
        <w:jc w:val="both"/>
        <w:rPr>
          <w:rFonts w:ascii="Arial" w:hAnsi="Arial" w:cs="Arial"/>
        </w:rPr>
      </w:pPr>
      <w:r w:rsidRPr="000351B9">
        <w:rPr>
          <w:rFonts w:ascii="Arial" w:hAnsi="Arial" w:cs="Arial"/>
          <w:color w:val="000000"/>
        </w:rPr>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0F60C8" w:rsidRDefault="000F60C8" w:rsidP="00D8643B">
      <w:pPr>
        <w:jc w:val="both"/>
        <w:rPr>
          <w:rFonts w:ascii="Arial" w:hAnsi="Arial" w:cs="Arial"/>
        </w:rPr>
      </w:pPr>
    </w:p>
    <w:p w:rsidR="00D8643B" w:rsidRDefault="00D8643B" w:rsidP="00D8643B">
      <w:pPr>
        <w:jc w:val="both"/>
        <w:rPr>
          <w:rFonts w:ascii="Arial" w:hAnsi="Arial" w:cs="Arial"/>
        </w:rPr>
      </w:pPr>
    </w:p>
    <w:p w:rsidR="00390A69" w:rsidRDefault="00390A69" w:rsidP="00390A69">
      <w:pPr>
        <w:pStyle w:val="BodyText"/>
        <w:spacing w:after="240"/>
        <w:ind w:left="1440" w:hanging="1440"/>
        <w:jc w:val="center"/>
        <w:rPr>
          <w:rFonts w:ascii="Arial" w:hAnsi="Arial" w:cs="Arial"/>
          <w:b/>
          <w:sz w:val="28"/>
          <w:szCs w:val="28"/>
        </w:rPr>
      </w:pPr>
    </w:p>
    <w:p w:rsidR="002D7330" w:rsidRDefault="002D7330" w:rsidP="00390A69">
      <w:pPr>
        <w:pStyle w:val="BodyText"/>
        <w:spacing w:after="240"/>
        <w:ind w:left="1440" w:hanging="1440"/>
        <w:jc w:val="center"/>
        <w:rPr>
          <w:rFonts w:ascii="Arial" w:hAnsi="Arial" w:cs="Arial"/>
          <w:b/>
          <w:sz w:val="28"/>
          <w:szCs w:val="28"/>
        </w:rPr>
      </w:pPr>
    </w:p>
    <w:p w:rsidR="002D7330" w:rsidRDefault="002D7330" w:rsidP="00390A69">
      <w:pPr>
        <w:pStyle w:val="BodyText"/>
        <w:spacing w:after="240"/>
        <w:ind w:left="1440" w:hanging="1440"/>
        <w:jc w:val="center"/>
        <w:rPr>
          <w:rFonts w:ascii="Arial" w:hAnsi="Arial" w:cs="Arial"/>
          <w:b/>
          <w:sz w:val="28"/>
          <w:szCs w:val="28"/>
        </w:rPr>
      </w:pPr>
    </w:p>
    <w:p w:rsidR="002D7330" w:rsidRDefault="002D7330" w:rsidP="00390A69">
      <w:pPr>
        <w:pStyle w:val="BodyText"/>
        <w:spacing w:after="240"/>
        <w:ind w:left="1440" w:hanging="1440"/>
        <w:jc w:val="center"/>
        <w:rPr>
          <w:rFonts w:ascii="Arial" w:hAnsi="Arial" w:cs="Arial"/>
          <w:b/>
          <w:sz w:val="28"/>
          <w:szCs w:val="28"/>
        </w:rPr>
      </w:pPr>
    </w:p>
    <w:p w:rsidR="002D7330" w:rsidRDefault="002D7330" w:rsidP="00390A69">
      <w:pPr>
        <w:pStyle w:val="BodyText"/>
        <w:spacing w:after="240"/>
        <w:ind w:left="1440" w:hanging="1440"/>
        <w:jc w:val="center"/>
        <w:rPr>
          <w:rFonts w:ascii="Arial" w:hAnsi="Arial" w:cs="Arial"/>
          <w:b/>
          <w:sz w:val="28"/>
          <w:szCs w:val="28"/>
        </w:rPr>
      </w:pPr>
    </w:p>
    <w:p w:rsidR="008D6A11" w:rsidRDefault="008D6A11" w:rsidP="00390A69">
      <w:pPr>
        <w:pStyle w:val="BodyText"/>
        <w:spacing w:after="240"/>
        <w:ind w:left="1440" w:hanging="1440"/>
        <w:jc w:val="center"/>
        <w:rPr>
          <w:rFonts w:ascii="Arial" w:hAnsi="Arial" w:cs="Arial"/>
          <w:b/>
          <w:sz w:val="28"/>
          <w:szCs w:val="28"/>
        </w:rPr>
        <w:sectPr w:rsidR="008D6A11" w:rsidSect="00431631">
          <w:headerReference w:type="default" r:id="rId7"/>
          <w:pgSz w:w="12240" w:h="15840"/>
          <w:pgMar w:top="1440" w:right="1800" w:bottom="1440" w:left="1800" w:header="720" w:footer="720" w:gutter="0"/>
          <w:cols w:space="720"/>
          <w:docGrid w:linePitch="360"/>
        </w:sectPr>
      </w:pPr>
    </w:p>
    <w:p w:rsidR="00FD217E" w:rsidRDefault="00FD217E" w:rsidP="000F60C8">
      <w:pPr>
        <w:overflowPunct w:val="0"/>
        <w:autoSpaceDE w:val="0"/>
        <w:autoSpaceDN w:val="0"/>
        <w:adjustRightInd w:val="0"/>
        <w:spacing w:beforeLines="60" w:afterLines="60"/>
        <w:jc w:val="center"/>
        <w:textAlignment w:val="baseline"/>
        <w:rPr>
          <w:rFonts w:ascii="Arial" w:hAnsi="Arial" w:cs="Arial"/>
          <w:b/>
        </w:rPr>
      </w:pPr>
      <w:r>
        <w:rPr>
          <w:rFonts w:ascii="Arial" w:hAnsi="Arial" w:cs="Arial"/>
          <w:b/>
        </w:rPr>
        <w:t>PUBLIC DISCLOSURE</w:t>
      </w:r>
    </w:p>
    <w:p w:rsidR="00FD217E" w:rsidRDefault="00FD217E" w:rsidP="000F60C8">
      <w:pPr>
        <w:overflowPunct w:val="0"/>
        <w:autoSpaceDE w:val="0"/>
        <w:autoSpaceDN w:val="0"/>
        <w:adjustRightInd w:val="0"/>
        <w:spacing w:beforeLines="60" w:afterLines="60"/>
        <w:jc w:val="both"/>
        <w:textAlignment w:val="baseline"/>
        <w:rPr>
          <w:rFonts w:ascii="Arial" w:hAnsi="Arial" w:cs="Arial"/>
          <w:b/>
        </w:rPr>
      </w:pPr>
    </w:p>
    <w:p w:rsidR="00FB2F46" w:rsidRPr="000E7830" w:rsidRDefault="004B1A3A" w:rsidP="000F60C8">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B06510">
        <w:rPr>
          <w:rFonts w:ascii="Arial" w:hAnsi="Arial" w:cs="Arial"/>
          <w:b/>
        </w:rPr>
        <w:t>-33</w:t>
      </w:r>
      <w:r w:rsidR="00220C28" w:rsidRPr="000E7830">
        <w:rPr>
          <w:rFonts w:ascii="Arial" w:hAnsi="Arial" w:cs="Arial"/>
          <w:b/>
        </w:rPr>
        <w:t>:</w:t>
      </w:r>
    </w:p>
    <w:p w:rsidR="00834AEE" w:rsidRPr="00683AE9" w:rsidRDefault="00834AEE" w:rsidP="00834AEE">
      <w:pPr>
        <w:rPr>
          <w:rFonts w:ascii="Arial" w:hAnsi="Arial" w:cs="Arial"/>
        </w:rPr>
      </w:pPr>
      <w:r w:rsidRPr="00683AE9">
        <w:rPr>
          <w:rFonts w:ascii="Arial" w:hAnsi="Arial" w:cs="Arial"/>
        </w:rPr>
        <w:t xml:space="preserve">The Company’s response to STF-HPSC-2-8 in FCR-21 makes the point that it is not unusual to have only </w:t>
      </w:r>
      <w:r w:rsidR="00B36789">
        <w:rPr>
          <w:rFonts w:ascii="Arial" w:hAnsi="Arial" w:cs="Arial"/>
        </w:rPr>
        <w:t>REDACTED</w:t>
      </w:r>
      <w:r w:rsidRPr="00683AE9">
        <w:rPr>
          <w:rFonts w:ascii="Arial" w:hAnsi="Arial" w:cs="Arial"/>
        </w:rPr>
        <w:t xml:space="preserve"> of the next year’s (2009s needs) needs contracted for as of the prior year.  However, during the prior year, the Company had </w:t>
      </w:r>
      <w:r w:rsidR="00B36789">
        <w:rPr>
          <w:rFonts w:ascii="Arial" w:hAnsi="Arial" w:cs="Arial"/>
        </w:rPr>
        <w:t>REDACTED</w:t>
      </w:r>
      <w:r w:rsidRPr="00683AE9">
        <w:rPr>
          <w:rFonts w:ascii="Arial" w:hAnsi="Arial" w:cs="Arial"/>
        </w:rPr>
        <w:t xml:space="preserve"> of the next year’s needs contracted for.  What explains this very large difference from one year to the next?</w:t>
      </w:r>
    </w:p>
    <w:p w:rsidR="00DF2AD9" w:rsidRDefault="00DF2AD9" w:rsidP="000F60C8">
      <w:pPr>
        <w:overflowPunct w:val="0"/>
        <w:autoSpaceDE w:val="0"/>
        <w:autoSpaceDN w:val="0"/>
        <w:adjustRightInd w:val="0"/>
        <w:spacing w:beforeLines="60" w:afterLines="60"/>
        <w:jc w:val="both"/>
        <w:textAlignment w:val="baseline"/>
        <w:rPr>
          <w:rFonts w:ascii="Arial" w:hAnsi="Arial" w:cs="Arial"/>
          <w:b/>
        </w:rPr>
      </w:pPr>
    </w:p>
    <w:p w:rsidR="00CA12DA" w:rsidRDefault="00402268" w:rsidP="000F60C8">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4F2B44" w:rsidRDefault="004F2B44" w:rsidP="000F60C8">
      <w:pPr>
        <w:overflowPunct w:val="0"/>
        <w:autoSpaceDE w:val="0"/>
        <w:autoSpaceDN w:val="0"/>
        <w:adjustRightInd w:val="0"/>
        <w:spacing w:beforeLines="60" w:afterLines="60"/>
        <w:jc w:val="both"/>
        <w:textAlignment w:val="baseline"/>
        <w:rPr>
          <w:rFonts w:ascii="Arial" w:hAnsi="Arial" w:cs="Arial"/>
        </w:rPr>
      </w:pPr>
      <w:r>
        <w:rPr>
          <w:rFonts w:ascii="Arial" w:hAnsi="Arial" w:cs="Arial"/>
        </w:rPr>
        <w:t>A</w:t>
      </w:r>
      <w:r w:rsidR="004E15DC">
        <w:rPr>
          <w:rFonts w:ascii="Arial" w:hAnsi="Arial" w:cs="Arial"/>
        </w:rPr>
        <w:t>s communicated</w:t>
      </w:r>
      <w:r w:rsidR="00CA12DA" w:rsidRPr="00CA12DA">
        <w:rPr>
          <w:rFonts w:ascii="Arial" w:hAnsi="Arial" w:cs="Arial"/>
        </w:rPr>
        <w:t xml:space="preserve"> in </w:t>
      </w:r>
      <w:r w:rsidR="00E612DD">
        <w:rPr>
          <w:rFonts w:ascii="Arial" w:hAnsi="Arial" w:cs="Arial"/>
        </w:rPr>
        <w:t>the conference call between the Company and the</w:t>
      </w:r>
      <w:r w:rsidR="00CA12DA" w:rsidRPr="00CA12DA">
        <w:rPr>
          <w:rFonts w:ascii="Arial" w:hAnsi="Arial" w:cs="Arial"/>
        </w:rPr>
        <w:t xml:space="preserve"> Staff on January 1</w:t>
      </w:r>
      <w:r w:rsidR="000A1BE7">
        <w:rPr>
          <w:rFonts w:ascii="Arial" w:hAnsi="Arial" w:cs="Arial"/>
        </w:rPr>
        <w:t>5</w:t>
      </w:r>
      <w:r w:rsidR="00CA12DA" w:rsidRPr="00CA12DA">
        <w:rPr>
          <w:rFonts w:ascii="Arial" w:hAnsi="Arial" w:cs="Arial"/>
        </w:rPr>
        <w:t xml:space="preserve">, 2010, </w:t>
      </w:r>
      <w:r w:rsidR="00CA12DA">
        <w:rPr>
          <w:rFonts w:ascii="Arial" w:hAnsi="Arial" w:cs="Arial"/>
        </w:rPr>
        <w:t xml:space="preserve">the </w:t>
      </w:r>
      <w:r>
        <w:rPr>
          <w:rFonts w:ascii="Arial" w:hAnsi="Arial" w:cs="Arial"/>
        </w:rPr>
        <w:t xml:space="preserve">year to year </w:t>
      </w:r>
      <w:r w:rsidR="00CA12DA">
        <w:rPr>
          <w:rFonts w:ascii="Arial" w:hAnsi="Arial" w:cs="Arial"/>
        </w:rPr>
        <w:t>percentage</w:t>
      </w:r>
      <w:r>
        <w:rPr>
          <w:rFonts w:ascii="Arial" w:hAnsi="Arial" w:cs="Arial"/>
        </w:rPr>
        <w:t xml:space="preserve"> differences can be </w:t>
      </w:r>
      <w:r w:rsidR="00CA12DA">
        <w:rPr>
          <w:rFonts w:ascii="Arial" w:hAnsi="Arial" w:cs="Arial"/>
        </w:rPr>
        <w:t xml:space="preserve">a simple timing issue. While it’s true that GPC had </w:t>
      </w:r>
      <w:r w:rsidR="001B4B74">
        <w:rPr>
          <w:rFonts w:ascii="Arial" w:hAnsi="Arial" w:cs="Arial"/>
        </w:rPr>
        <w:t>REDACTED</w:t>
      </w:r>
      <w:r w:rsidR="00CA12DA">
        <w:rPr>
          <w:rFonts w:ascii="Arial" w:hAnsi="Arial" w:cs="Arial"/>
        </w:rPr>
        <w:t xml:space="preserve"> of its 2009 requirements committed at the beginning of 2008, it is also true that by April 2008, GPC had increased the 2009 commitments to </w:t>
      </w:r>
      <w:r w:rsidR="001B4B74">
        <w:rPr>
          <w:rFonts w:ascii="Arial" w:hAnsi="Arial" w:cs="Arial"/>
        </w:rPr>
        <w:t>REDACTED</w:t>
      </w:r>
      <w:r w:rsidR="00CA12DA">
        <w:rPr>
          <w:rFonts w:ascii="Arial" w:hAnsi="Arial" w:cs="Arial"/>
        </w:rPr>
        <w:t xml:space="preserve"> committed. </w:t>
      </w:r>
      <w:r w:rsidR="000A1BE7">
        <w:rPr>
          <w:rFonts w:ascii="Arial" w:hAnsi="Arial" w:cs="Arial"/>
        </w:rPr>
        <w:t xml:space="preserve">More details </w:t>
      </w:r>
      <w:r w:rsidR="006160AC">
        <w:rPr>
          <w:rFonts w:ascii="Arial" w:hAnsi="Arial" w:cs="Arial"/>
        </w:rPr>
        <w:t xml:space="preserve">can be found in the Company’s response to </w:t>
      </w:r>
      <w:r w:rsidR="00CA12DA">
        <w:rPr>
          <w:rFonts w:ascii="Arial" w:hAnsi="Arial" w:cs="Arial"/>
        </w:rPr>
        <w:t>STF-HPSC-2-1</w:t>
      </w:r>
      <w:r>
        <w:rPr>
          <w:rFonts w:ascii="Arial" w:hAnsi="Arial" w:cs="Arial"/>
        </w:rPr>
        <w:t xml:space="preserve">. </w:t>
      </w:r>
    </w:p>
    <w:p w:rsidR="00CA12DA" w:rsidRDefault="00E612DD" w:rsidP="000F60C8">
      <w:pPr>
        <w:overflowPunct w:val="0"/>
        <w:autoSpaceDE w:val="0"/>
        <w:autoSpaceDN w:val="0"/>
        <w:adjustRightInd w:val="0"/>
        <w:spacing w:beforeLines="60" w:afterLines="60"/>
        <w:jc w:val="both"/>
        <w:textAlignment w:val="baseline"/>
        <w:rPr>
          <w:rFonts w:ascii="Arial" w:hAnsi="Arial" w:cs="Arial"/>
        </w:rPr>
      </w:pPr>
      <w:r>
        <w:rPr>
          <w:rFonts w:ascii="Arial" w:hAnsi="Arial" w:cs="Arial"/>
        </w:rPr>
        <w:t>Furthermore, as stated in the Company’s response to STF-HPSC-5-6 as well as responses to data requests in STF-HPSC-7</w:t>
      </w:r>
      <w:r w:rsidR="004F2B44">
        <w:rPr>
          <w:rFonts w:ascii="Arial" w:hAnsi="Arial" w:cs="Arial"/>
        </w:rPr>
        <w:t>, there were contract negotiations that failed and did not lead to executed contract</w:t>
      </w:r>
      <w:r w:rsidR="00687148">
        <w:rPr>
          <w:rFonts w:ascii="Arial" w:hAnsi="Arial" w:cs="Arial"/>
        </w:rPr>
        <w:t>s</w:t>
      </w:r>
      <w:r w:rsidR="004F2B44">
        <w:rPr>
          <w:rFonts w:ascii="Arial" w:hAnsi="Arial" w:cs="Arial"/>
        </w:rPr>
        <w:t>. If those contracts had been completed, the 2009 committed percentage would have been approxi</w:t>
      </w:r>
      <w:r w:rsidR="00FC2A1E">
        <w:rPr>
          <w:rFonts w:ascii="Arial" w:hAnsi="Arial" w:cs="Arial"/>
        </w:rPr>
        <w:t xml:space="preserve">mately </w:t>
      </w:r>
      <w:r w:rsidR="001B4B74">
        <w:rPr>
          <w:rFonts w:ascii="Arial" w:hAnsi="Arial" w:cs="Arial"/>
        </w:rPr>
        <w:t>REDACTED</w:t>
      </w:r>
      <w:r w:rsidR="00FC2A1E">
        <w:rPr>
          <w:rFonts w:ascii="Arial" w:hAnsi="Arial" w:cs="Arial"/>
        </w:rPr>
        <w:t xml:space="preserve"> committed (leaving a 2009 </w:t>
      </w:r>
      <w:r w:rsidR="004F2B44">
        <w:rPr>
          <w:rFonts w:ascii="Arial" w:hAnsi="Arial" w:cs="Arial"/>
        </w:rPr>
        <w:t xml:space="preserve">uncommitted portion of </w:t>
      </w:r>
      <w:r w:rsidR="001B4B74">
        <w:rPr>
          <w:rFonts w:ascii="Arial" w:hAnsi="Arial" w:cs="Arial"/>
        </w:rPr>
        <w:t>REDACTED</w:t>
      </w:r>
      <w:r w:rsidR="004F2B44">
        <w:rPr>
          <w:rFonts w:ascii="Arial" w:hAnsi="Arial" w:cs="Arial"/>
        </w:rPr>
        <w:t xml:space="preserve">) at the beginning of 2008. </w:t>
      </w:r>
    </w:p>
    <w:p w:rsidR="004F2B44" w:rsidRPr="00CA12DA" w:rsidRDefault="004F2B44" w:rsidP="000F60C8">
      <w:pPr>
        <w:overflowPunct w:val="0"/>
        <w:autoSpaceDE w:val="0"/>
        <w:autoSpaceDN w:val="0"/>
        <w:adjustRightInd w:val="0"/>
        <w:spacing w:beforeLines="60" w:afterLines="60"/>
        <w:jc w:val="both"/>
        <w:textAlignment w:val="baseline"/>
        <w:rPr>
          <w:rFonts w:ascii="Arial" w:hAnsi="Arial" w:cs="Arial"/>
        </w:rPr>
      </w:pPr>
      <w:r>
        <w:rPr>
          <w:rFonts w:ascii="Arial" w:hAnsi="Arial" w:cs="Arial"/>
        </w:rPr>
        <w:t xml:space="preserve">Market conditions can also </w:t>
      </w:r>
      <w:r w:rsidR="003C6755">
        <w:rPr>
          <w:rFonts w:ascii="Arial" w:hAnsi="Arial" w:cs="Arial"/>
        </w:rPr>
        <w:t>impact the amount of commitments made as stated in</w:t>
      </w:r>
      <w:r w:rsidR="004E15DC">
        <w:rPr>
          <w:rFonts w:ascii="Arial" w:hAnsi="Arial" w:cs="Arial"/>
        </w:rPr>
        <w:t xml:space="preserve"> the Company’s response to</w:t>
      </w:r>
      <w:r w:rsidR="003C6755">
        <w:rPr>
          <w:rFonts w:ascii="Arial" w:hAnsi="Arial" w:cs="Arial"/>
        </w:rPr>
        <w:t xml:space="preserve"> STF-HPSC-9-20. </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431631">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0AC" w:rsidRDefault="006160AC">
      <w:r>
        <w:separator/>
      </w:r>
    </w:p>
  </w:endnote>
  <w:endnote w:type="continuationSeparator" w:id="0">
    <w:p w:rsidR="006160AC" w:rsidRDefault="006160A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A11" w:rsidRDefault="008D6A11" w:rsidP="008D6A11">
    <w:pPr>
      <w:pStyle w:val="Footer"/>
    </w:pPr>
    <w:r>
      <w:t>Information Provided by: Cherry Martin</w:t>
    </w:r>
  </w:p>
  <w:p w:rsidR="008D6A11" w:rsidRPr="008D6A11" w:rsidRDefault="008D6A11" w:rsidP="008D6A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0AC" w:rsidRDefault="006160AC">
      <w:r>
        <w:separator/>
      </w:r>
    </w:p>
  </w:footnote>
  <w:footnote w:type="continuationSeparator" w:id="0">
    <w:p w:rsidR="006160AC" w:rsidRDefault="006160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0AC" w:rsidRPr="00153C70" w:rsidRDefault="006160AC" w:rsidP="004137D2">
    <w:pPr>
      <w:pStyle w:val="Header"/>
      <w:jc w:val="center"/>
    </w:pPr>
    <w:r w:rsidRPr="00153C70">
      <w:t xml:space="preserve">Georgia Power Company </w:t>
    </w:r>
  </w:p>
  <w:p w:rsidR="006160AC" w:rsidRDefault="006160AC"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6160AC" w:rsidRPr="00153C70" w:rsidRDefault="006160AC" w:rsidP="004137D2">
    <w:pPr>
      <w:pStyle w:val="Header"/>
      <w:jc w:val="center"/>
    </w:pPr>
    <w:r>
      <w:t>STF-HPSC Data Request Set No. 9</w:t>
    </w:r>
  </w:p>
  <w:p w:rsidR="006160AC" w:rsidRPr="004137D2" w:rsidRDefault="006160AC" w:rsidP="004137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25601"/>
  </w:hdrShapeDefaults>
  <w:footnotePr>
    <w:footnote w:id="-1"/>
    <w:footnote w:id="0"/>
  </w:footnotePr>
  <w:endnotePr>
    <w:endnote w:id="-1"/>
    <w:endnote w:id="0"/>
  </w:endnotePr>
  <w:compat/>
  <w:rsids>
    <w:rsidRoot w:val="001C3F8B"/>
    <w:rsid w:val="000367DE"/>
    <w:rsid w:val="00047070"/>
    <w:rsid w:val="00060CAA"/>
    <w:rsid w:val="000662DF"/>
    <w:rsid w:val="00067550"/>
    <w:rsid w:val="0007028E"/>
    <w:rsid w:val="000813AD"/>
    <w:rsid w:val="00084EE9"/>
    <w:rsid w:val="00094A46"/>
    <w:rsid w:val="000A1BE7"/>
    <w:rsid w:val="000A6485"/>
    <w:rsid w:val="000C177F"/>
    <w:rsid w:val="000C5388"/>
    <w:rsid w:val="000D4165"/>
    <w:rsid w:val="000E3A30"/>
    <w:rsid w:val="000E7830"/>
    <w:rsid w:val="000F14D0"/>
    <w:rsid w:val="000F60C8"/>
    <w:rsid w:val="000F6B8D"/>
    <w:rsid w:val="00134DFF"/>
    <w:rsid w:val="00146A40"/>
    <w:rsid w:val="001566D1"/>
    <w:rsid w:val="001600C7"/>
    <w:rsid w:val="001679F4"/>
    <w:rsid w:val="00171502"/>
    <w:rsid w:val="00180A85"/>
    <w:rsid w:val="001815DE"/>
    <w:rsid w:val="001825E5"/>
    <w:rsid w:val="001B4B74"/>
    <w:rsid w:val="001C3F8B"/>
    <w:rsid w:val="001E6783"/>
    <w:rsid w:val="00220C28"/>
    <w:rsid w:val="00224DE1"/>
    <w:rsid w:val="00232178"/>
    <w:rsid w:val="0024160D"/>
    <w:rsid w:val="002454A6"/>
    <w:rsid w:val="00251620"/>
    <w:rsid w:val="00282443"/>
    <w:rsid w:val="002860F3"/>
    <w:rsid w:val="002B6F67"/>
    <w:rsid w:val="002C6CA8"/>
    <w:rsid w:val="002C7179"/>
    <w:rsid w:val="002D150E"/>
    <w:rsid w:val="002D2040"/>
    <w:rsid w:val="002D41E9"/>
    <w:rsid w:val="002D7330"/>
    <w:rsid w:val="00320556"/>
    <w:rsid w:val="00330570"/>
    <w:rsid w:val="00353747"/>
    <w:rsid w:val="00356109"/>
    <w:rsid w:val="00363234"/>
    <w:rsid w:val="003644C6"/>
    <w:rsid w:val="00367FE1"/>
    <w:rsid w:val="00374AC2"/>
    <w:rsid w:val="00376556"/>
    <w:rsid w:val="003833A9"/>
    <w:rsid w:val="00390A69"/>
    <w:rsid w:val="0039566E"/>
    <w:rsid w:val="003A7983"/>
    <w:rsid w:val="003C13ED"/>
    <w:rsid w:val="003C6755"/>
    <w:rsid w:val="003C7F0E"/>
    <w:rsid w:val="003F3F11"/>
    <w:rsid w:val="00402268"/>
    <w:rsid w:val="004137D2"/>
    <w:rsid w:val="0041763E"/>
    <w:rsid w:val="00422221"/>
    <w:rsid w:val="004312B3"/>
    <w:rsid w:val="00431631"/>
    <w:rsid w:val="00443E64"/>
    <w:rsid w:val="00455298"/>
    <w:rsid w:val="00471409"/>
    <w:rsid w:val="00476305"/>
    <w:rsid w:val="004765D6"/>
    <w:rsid w:val="00481B0E"/>
    <w:rsid w:val="0048738C"/>
    <w:rsid w:val="00487FDB"/>
    <w:rsid w:val="004975F9"/>
    <w:rsid w:val="004B1A3A"/>
    <w:rsid w:val="004B4849"/>
    <w:rsid w:val="004B4D8D"/>
    <w:rsid w:val="004C422A"/>
    <w:rsid w:val="004E15DC"/>
    <w:rsid w:val="004E4368"/>
    <w:rsid w:val="004E765F"/>
    <w:rsid w:val="004F2B44"/>
    <w:rsid w:val="004F74F0"/>
    <w:rsid w:val="00510D11"/>
    <w:rsid w:val="0051607A"/>
    <w:rsid w:val="00516477"/>
    <w:rsid w:val="00527506"/>
    <w:rsid w:val="00542DF5"/>
    <w:rsid w:val="00545ECD"/>
    <w:rsid w:val="005718CB"/>
    <w:rsid w:val="005743C1"/>
    <w:rsid w:val="00575D7A"/>
    <w:rsid w:val="005906F5"/>
    <w:rsid w:val="005A19CB"/>
    <w:rsid w:val="005A44D6"/>
    <w:rsid w:val="005A5B93"/>
    <w:rsid w:val="005D0C39"/>
    <w:rsid w:val="005F7EA2"/>
    <w:rsid w:val="0061293D"/>
    <w:rsid w:val="006160AC"/>
    <w:rsid w:val="00626033"/>
    <w:rsid w:val="00644941"/>
    <w:rsid w:val="00682928"/>
    <w:rsid w:val="00683AEF"/>
    <w:rsid w:val="00687148"/>
    <w:rsid w:val="006A19F4"/>
    <w:rsid w:val="006E6780"/>
    <w:rsid w:val="007024EE"/>
    <w:rsid w:val="00705D6D"/>
    <w:rsid w:val="00710BC2"/>
    <w:rsid w:val="00732311"/>
    <w:rsid w:val="00737237"/>
    <w:rsid w:val="00757573"/>
    <w:rsid w:val="007948DC"/>
    <w:rsid w:val="007A03E0"/>
    <w:rsid w:val="007D46F7"/>
    <w:rsid w:val="007E307F"/>
    <w:rsid w:val="007F3915"/>
    <w:rsid w:val="00826DAA"/>
    <w:rsid w:val="00830A9C"/>
    <w:rsid w:val="008331D6"/>
    <w:rsid w:val="00834AEE"/>
    <w:rsid w:val="0084018E"/>
    <w:rsid w:val="008403FA"/>
    <w:rsid w:val="00871CB9"/>
    <w:rsid w:val="008755C3"/>
    <w:rsid w:val="008A7C37"/>
    <w:rsid w:val="008B223A"/>
    <w:rsid w:val="008C2A2A"/>
    <w:rsid w:val="008D0300"/>
    <w:rsid w:val="008D6A11"/>
    <w:rsid w:val="008E0570"/>
    <w:rsid w:val="008E43F6"/>
    <w:rsid w:val="008E4EB8"/>
    <w:rsid w:val="008F28B7"/>
    <w:rsid w:val="008F49B1"/>
    <w:rsid w:val="009029F1"/>
    <w:rsid w:val="0091647E"/>
    <w:rsid w:val="009354BE"/>
    <w:rsid w:val="00955543"/>
    <w:rsid w:val="00957B03"/>
    <w:rsid w:val="009663FE"/>
    <w:rsid w:val="009A28FD"/>
    <w:rsid w:val="009B5D49"/>
    <w:rsid w:val="009F0201"/>
    <w:rsid w:val="009F51A2"/>
    <w:rsid w:val="00A0411D"/>
    <w:rsid w:val="00A22822"/>
    <w:rsid w:val="00A374E3"/>
    <w:rsid w:val="00A558E5"/>
    <w:rsid w:val="00A60731"/>
    <w:rsid w:val="00A72392"/>
    <w:rsid w:val="00A735DF"/>
    <w:rsid w:val="00A8014F"/>
    <w:rsid w:val="00A80856"/>
    <w:rsid w:val="00A87934"/>
    <w:rsid w:val="00AA445B"/>
    <w:rsid w:val="00AE64FD"/>
    <w:rsid w:val="00B06510"/>
    <w:rsid w:val="00B12D79"/>
    <w:rsid w:val="00B22C67"/>
    <w:rsid w:val="00B36789"/>
    <w:rsid w:val="00B44795"/>
    <w:rsid w:val="00B453C2"/>
    <w:rsid w:val="00B52EDB"/>
    <w:rsid w:val="00B5572F"/>
    <w:rsid w:val="00B6364C"/>
    <w:rsid w:val="00B6391E"/>
    <w:rsid w:val="00B659E4"/>
    <w:rsid w:val="00B67513"/>
    <w:rsid w:val="00B907C8"/>
    <w:rsid w:val="00BB1ECE"/>
    <w:rsid w:val="00BB6ADC"/>
    <w:rsid w:val="00BD40E0"/>
    <w:rsid w:val="00BD7473"/>
    <w:rsid w:val="00BF33B4"/>
    <w:rsid w:val="00C0535F"/>
    <w:rsid w:val="00C51650"/>
    <w:rsid w:val="00C548B1"/>
    <w:rsid w:val="00C55257"/>
    <w:rsid w:val="00C570CA"/>
    <w:rsid w:val="00C61CC0"/>
    <w:rsid w:val="00C62767"/>
    <w:rsid w:val="00C77C49"/>
    <w:rsid w:val="00C85C55"/>
    <w:rsid w:val="00C92F3B"/>
    <w:rsid w:val="00CA12DA"/>
    <w:rsid w:val="00CB00A3"/>
    <w:rsid w:val="00CB0B80"/>
    <w:rsid w:val="00CB4533"/>
    <w:rsid w:val="00CC1A9F"/>
    <w:rsid w:val="00CC2015"/>
    <w:rsid w:val="00CD00E2"/>
    <w:rsid w:val="00CF25EB"/>
    <w:rsid w:val="00D05DF2"/>
    <w:rsid w:val="00D23707"/>
    <w:rsid w:val="00D30A75"/>
    <w:rsid w:val="00D33329"/>
    <w:rsid w:val="00D33D1B"/>
    <w:rsid w:val="00D361D0"/>
    <w:rsid w:val="00D410E4"/>
    <w:rsid w:val="00D65F1C"/>
    <w:rsid w:val="00D73C43"/>
    <w:rsid w:val="00D75646"/>
    <w:rsid w:val="00D77039"/>
    <w:rsid w:val="00D8643B"/>
    <w:rsid w:val="00DA6C10"/>
    <w:rsid w:val="00DD25EB"/>
    <w:rsid w:val="00DE4F12"/>
    <w:rsid w:val="00DF2AD9"/>
    <w:rsid w:val="00E20A36"/>
    <w:rsid w:val="00E32C5F"/>
    <w:rsid w:val="00E337F6"/>
    <w:rsid w:val="00E36043"/>
    <w:rsid w:val="00E37EA1"/>
    <w:rsid w:val="00E57826"/>
    <w:rsid w:val="00E612DD"/>
    <w:rsid w:val="00E6396D"/>
    <w:rsid w:val="00E944B9"/>
    <w:rsid w:val="00EA2DB4"/>
    <w:rsid w:val="00EB3137"/>
    <w:rsid w:val="00EB3A5A"/>
    <w:rsid w:val="00EC7927"/>
    <w:rsid w:val="00EE7277"/>
    <w:rsid w:val="00EE7D44"/>
    <w:rsid w:val="00F056D2"/>
    <w:rsid w:val="00F069CE"/>
    <w:rsid w:val="00F159AE"/>
    <w:rsid w:val="00F20D68"/>
    <w:rsid w:val="00F513DD"/>
    <w:rsid w:val="00F5256F"/>
    <w:rsid w:val="00F65D0F"/>
    <w:rsid w:val="00F81A9E"/>
    <w:rsid w:val="00FA55A2"/>
    <w:rsid w:val="00FB2F46"/>
    <w:rsid w:val="00FC2A1E"/>
    <w:rsid w:val="00FD08E0"/>
    <w:rsid w:val="00FD217E"/>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2400</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2010-09-22T18:52:00Z</dcterms:created>
  <dcterms:modified xsi:type="dcterms:W3CDTF">2010-09-24T15:48:00Z</dcterms:modified>
</cp:coreProperties>
</file>